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883549" w:rsidRDefault="00013508" w:rsidP="00883549">
      <w:pPr>
        <w:shd w:val="clear" w:color="auto" w:fill="D9D9D9" w:themeFill="background1" w:themeFillShade="D9"/>
        <w:spacing w:line="360" w:lineRule="auto"/>
        <w:jc w:val="center"/>
        <w:rPr>
          <w:rFonts w:ascii="Tahoma" w:eastAsia="Times New Roman" w:hAnsi="Tahoma"/>
          <w:b/>
          <w:bCs/>
          <w:sz w:val="24"/>
          <w:rtl/>
        </w:rPr>
      </w:pPr>
      <w:r w:rsidRPr="00883549">
        <w:rPr>
          <w:rFonts w:ascii="Tahoma" w:eastAsia="Times New Roman" w:hAnsi="Tahoma"/>
          <w:b/>
          <w:bCs/>
          <w:sz w:val="24"/>
          <w:rtl/>
        </w:rPr>
        <w:t>بسم الله الرحمن الرحیم</w:t>
      </w:r>
    </w:p>
    <w:p w:rsidR="0041002B" w:rsidRPr="00883549" w:rsidRDefault="0041002B" w:rsidP="00883549">
      <w:pPr>
        <w:shd w:val="clear" w:color="auto" w:fill="D9D9D9" w:themeFill="background1" w:themeFillShade="D9"/>
        <w:spacing w:line="360" w:lineRule="auto"/>
        <w:jc w:val="lowKashida"/>
        <w:rPr>
          <w:rFonts w:ascii="Tahoma" w:eastAsia="Times New Roman" w:hAnsi="Tahoma"/>
          <w:b/>
          <w:bCs/>
          <w:sz w:val="24"/>
          <w:rtl/>
        </w:rPr>
      </w:pPr>
      <w:r w:rsidRPr="00883549">
        <w:rPr>
          <w:rFonts w:ascii="Tahoma" w:hAnsi="Tahoma"/>
          <w:b/>
          <w:bCs/>
          <w:color w:val="000000" w:themeColor="text1"/>
          <w:sz w:val="24"/>
          <w:rtl/>
        </w:rPr>
        <w:t>فقه التعامل و التعایش مع مختلف الملل و النحل</w:t>
      </w:r>
      <w:r w:rsidRPr="00883549">
        <w:rPr>
          <w:rFonts w:ascii="Tahoma" w:eastAsia="Times New Roman" w:hAnsi="Tahoma"/>
          <w:b/>
          <w:bCs/>
          <w:sz w:val="24"/>
          <w:rtl/>
        </w:rPr>
        <w:t xml:space="preserve"> </w:t>
      </w:r>
    </w:p>
    <w:p w:rsidR="00013508" w:rsidRPr="00883549" w:rsidRDefault="00013508" w:rsidP="00883549">
      <w:pPr>
        <w:shd w:val="clear" w:color="auto" w:fill="D9D9D9" w:themeFill="background1" w:themeFillShade="D9"/>
        <w:spacing w:line="360" w:lineRule="auto"/>
        <w:ind w:firstLine="720"/>
        <w:jc w:val="lowKashida"/>
        <w:rPr>
          <w:rFonts w:ascii="Tahoma" w:eastAsia="Times New Roman" w:hAnsi="Tahoma"/>
          <w:b/>
          <w:bCs/>
          <w:sz w:val="24"/>
        </w:rPr>
      </w:pPr>
      <w:r w:rsidRPr="00883549">
        <w:rPr>
          <w:rFonts w:ascii="Tahoma" w:eastAsia="Times New Roman" w:hAnsi="Tahoma"/>
          <w:b/>
          <w:bCs/>
          <w:sz w:val="24"/>
          <w:rtl/>
        </w:rPr>
        <w:t>طهارت یا نجاست غیر مسلم</w:t>
      </w:r>
    </w:p>
    <w:p w:rsidR="00013508" w:rsidRPr="00883549" w:rsidRDefault="00013508" w:rsidP="006E63FD">
      <w:pPr>
        <w:shd w:val="clear" w:color="auto" w:fill="D9D9D9" w:themeFill="background1" w:themeFillShade="D9"/>
        <w:spacing w:line="360" w:lineRule="auto"/>
        <w:jc w:val="lowKashida"/>
        <w:rPr>
          <w:rFonts w:ascii="Tahoma" w:eastAsia="Times New Roman" w:hAnsi="Tahoma"/>
          <w:b/>
          <w:bCs/>
          <w:sz w:val="24"/>
        </w:rPr>
      </w:pPr>
      <w:r w:rsidRPr="00883549">
        <w:rPr>
          <w:rFonts w:ascii="Tahoma" w:eastAsia="Times New Roman" w:hAnsi="Tahoma"/>
          <w:b/>
          <w:bCs/>
          <w:sz w:val="24"/>
          <w:rtl/>
        </w:rPr>
        <w:tab/>
      </w:r>
      <w:r w:rsidRPr="00883549">
        <w:rPr>
          <w:rFonts w:ascii="Tahoma" w:eastAsia="Times New Roman" w:hAnsi="Tahoma"/>
          <w:b/>
          <w:bCs/>
          <w:sz w:val="24"/>
          <w:rtl/>
        </w:rPr>
        <w:tab/>
        <w:t>بررسی روایات</w:t>
      </w:r>
    </w:p>
    <w:p w:rsidR="00CA60B6" w:rsidRPr="00883549" w:rsidRDefault="00013508" w:rsidP="002811C9">
      <w:pPr>
        <w:shd w:val="clear" w:color="auto" w:fill="D9D9D9" w:themeFill="background1" w:themeFillShade="D9"/>
        <w:spacing w:line="360" w:lineRule="auto"/>
        <w:jc w:val="lowKashida"/>
        <w:rPr>
          <w:rFonts w:ascii="Tahoma" w:eastAsia="Times New Roman" w:hAnsi="Tahoma"/>
          <w:b/>
          <w:bCs/>
          <w:sz w:val="24"/>
        </w:rPr>
      </w:pPr>
      <w:r w:rsidRPr="00883549">
        <w:rPr>
          <w:rFonts w:ascii="Tahoma" w:eastAsia="Times New Roman" w:hAnsi="Tahoma"/>
          <w:b/>
          <w:bCs/>
          <w:sz w:val="24"/>
          <w:rtl/>
        </w:rPr>
        <w:tab/>
      </w:r>
      <w:r w:rsidRPr="00883549">
        <w:rPr>
          <w:rFonts w:ascii="Tahoma" w:eastAsia="Times New Roman" w:hAnsi="Tahoma"/>
          <w:b/>
          <w:bCs/>
          <w:sz w:val="24"/>
          <w:rtl/>
        </w:rPr>
        <w:tab/>
      </w:r>
      <w:r w:rsidRPr="00883549">
        <w:rPr>
          <w:rFonts w:ascii="Tahoma" w:eastAsia="Times New Roman" w:hAnsi="Tahoma"/>
          <w:b/>
          <w:bCs/>
          <w:sz w:val="24"/>
          <w:rtl/>
        </w:rPr>
        <w:tab/>
        <w:t>روایات قائلین به نجاست</w:t>
      </w:r>
    </w:p>
    <w:p w:rsidR="00013508" w:rsidRDefault="00013508" w:rsidP="006B7C34">
      <w:pPr>
        <w:shd w:val="clear" w:color="auto" w:fill="D9D9D9" w:themeFill="background1" w:themeFillShade="D9"/>
        <w:spacing w:line="360" w:lineRule="auto"/>
        <w:jc w:val="lowKashida"/>
        <w:rPr>
          <w:rFonts w:ascii="Tahoma" w:eastAsia="Times New Roman" w:hAnsi="Tahoma"/>
          <w:b/>
          <w:bCs/>
          <w:sz w:val="24"/>
          <w:rtl/>
        </w:rPr>
      </w:pPr>
      <w:r w:rsidRPr="00883549">
        <w:rPr>
          <w:rFonts w:ascii="Tahoma" w:eastAsia="Times New Roman" w:hAnsi="Tahoma"/>
          <w:b/>
          <w:bCs/>
          <w:sz w:val="24"/>
          <w:rtl/>
        </w:rPr>
        <w:t xml:space="preserve">جلسه </w:t>
      </w:r>
      <w:r w:rsidR="007A341C" w:rsidRPr="00883549">
        <w:rPr>
          <w:rFonts w:ascii="Tahoma" w:eastAsia="Times New Roman" w:hAnsi="Tahoma"/>
          <w:b/>
          <w:bCs/>
          <w:sz w:val="24"/>
          <w:rtl/>
        </w:rPr>
        <w:t>پنجاه</w:t>
      </w:r>
      <w:r w:rsidR="00F44CC0" w:rsidRPr="00883549">
        <w:rPr>
          <w:rFonts w:ascii="Tahoma" w:eastAsia="Times New Roman" w:hAnsi="Tahoma"/>
          <w:b/>
          <w:bCs/>
          <w:sz w:val="24"/>
          <w:rtl/>
        </w:rPr>
        <w:t xml:space="preserve"> و </w:t>
      </w:r>
      <w:r w:rsidR="006B7C34">
        <w:rPr>
          <w:rFonts w:ascii="Tahoma" w:eastAsia="Times New Roman" w:hAnsi="Tahoma" w:hint="cs"/>
          <w:b/>
          <w:bCs/>
          <w:sz w:val="24"/>
          <w:rtl/>
        </w:rPr>
        <w:t>شش</w:t>
      </w:r>
      <w:r w:rsidR="007A341C" w:rsidRPr="00883549">
        <w:rPr>
          <w:rFonts w:ascii="Tahoma" w:eastAsia="Times New Roman" w:hAnsi="Tahoma"/>
          <w:b/>
          <w:bCs/>
          <w:sz w:val="24"/>
          <w:rtl/>
        </w:rPr>
        <w:t>م</w:t>
      </w:r>
      <w:r w:rsidRPr="00883549">
        <w:rPr>
          <w:rFonts w:ascii="Tahoma" w:eastAsia="Times New Roman" w:hAnsi="Tahoma"/>
          <w:b/>
          <w:bCs/>
          <w:sz w:val="24"/>
          <w:rtl/>
        </w:rPr>
        <w:t xml:space="preserve">_ </w:t>
      </w:r>
      <w:r w:rsidR="006B7C34">
        <w:rPr>
          <w:rFonts w:ascii="Tahoma" w:eastAsia="Times New Roman" w:hAnsi="Tahoma" w:hint="cs"/>
          <w:b/>
          <w:bCs/>
          <w:sz w:val="24"/>
          <w:rtl/>
        </w:rPr>
        <w:t>1</w:t>
      </w:r>
      <w:r w:rsidRPr="00883549">
        <w:rPr>
          <w:rFonts w:ascii="Tahoma" w:eastAsia="Times New Roman" w:hAnsi="Tahoma"/>
          <w:b/>
          <w:bCs/>
          <w:sz w:val="24"/>
          <w:rtl/>
        </w:rPr>
        <w:t xml:space="preserve"> </w:t>
      </w:r>
      <w:r w:rsidR="006B7C34">
        <w:rPr>
          <w:rFonts w:ascii="Tahoma" w:eastAsia="Times New Roman" w:hAnsi="Tahoma" w:hint="cs"/>
          <w:b/>
          <w:bCs/>
          <w:sz w:val="24"/>
          <w:rtl/>
        </w:rPr>
        <w:t>اسفند</w:t>
      </w:r>
      <w:r w:rsidRPr="00883549">
        <w:rPr>
          <w:rFonts w:ascii="Tahoma" w:eastAsia="Times New Roman" w:hAnsi="Tahoma"/>
          <w:b/>
          <w:bCs/>
          <w:sz w:val="24"/>
          <w:rtl/>
        </w:rPr>
        <w:t xml:space="preserve"> 95</w:t>
      </w:r>
    </w:p>
    <w:p w:rsidR="00E14EEC" w:rsidRDefault="00E14EEC" w:rsidP="006B7C34">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روایت حسن بن علی بن زیاد الوشاء مورد بحث بود، روایات تا خود وشاء مشکلی نداشت. وشاء هم خیرٌ من وجوه هذه الطائفه. فقط دارد عمن ذکره که روایت مرسله می شود.</w:t>
      </w:r>
    </w:p>
    <w:p w:rsidR="00E14EEC" w:rsidRDefault="00E14EEC" w:rsidP="00E14EE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عَنْ أَبِي عَبْدِ اللَّهِ علیه السلام</w:t>
      </w:r>
      <w:r>
        <w:rPr>
          <w:rFonts w:ascii="Tahoma" w:eastAsia="Times New Roman" w:hAnsi="Tahoma" w:hint="cs"/>
          <w:sz w:val="24"/>
          <w:rtl/>
        </w:rPr>
        <w:t>:</w:t>
      </w:r>
    </w:p>
    <w:p w:rsidR="00E14EEC" w:rsidRDefault="00E14EEC" w:rsidP="00E14EEC">
      <w:pPr>
        <w:shd w:val="clear" w:color="auto" w:fill="D9D9D9" w:themeFill="background1" w:themeFillShade="D9"/>
        <w:spacing w:line="360" w:lineRule="auto"/>
        <w:jc w:val="lowKashida"/>
        <w:rPr>
          <w:rFonts w:ascii="Tahoma" w:eastAsia="Times New Roman" w:hAnsi="Tahoma"/>
          <w:sz w:val="24"/>
          <w:rtl/>
        </w:rPr>
      </w:pPr>
      <w:r w:rsidRPr="00600930">
        <w:rPr>
          <w:rFonts w:ascii="Tahoma" w:eastAsia="Times New Roman" w:hAnsi="Tahoma" w:hint="cs"/>
          <w:sz w:val="24"/>
          <w:rtl/>
        </w:rPr>
        <w:t>أَنَّهُ كَرِهَ سُؤْرَ وَلَدِ الزِّنَا وَ سُؤْرَ الْيَهُودِيِّ وَ النَّصْرَانِيِّ وَ الْمُشْرِكِ- وَ كُلِّ مَا</w:t>
      </w:r>
      <w:r w:rsidRPr="00600930">
        <w:rPr>
          <w:rFonts w:ascii="Tahoma" w:eastAsia="Times New Roman" w:hAnsi="Tahoma"/>
          <w:sz w:val="24"/>
          <w:vertAlign w:val="superscript"/>
          <w:rtl/>
        </w:rPr>
        <w:footnoteReference w:id="1"/>
      </w:r>
      <w:r w:rsidRPr="00600930">
        <w:rPr>
          <w:rFonts w:ascii="Tahoma" w:eastAsia="Times New Roman" w:hAnsi="Tahoma" w:hint="cs"/>
          <w:sz w:val="24"/>
          <w:rtl/>
        </w:rPr>
        <w:t xml:space="preserve"> خَالَفَ الْإِسْلَامَ- وَ كَانَ أَشَدُّ ذَلِكَ عِنْدَهُ سُؤْرَ النَّاصِبِ.</w:t>
      </w:r>
    </w:p>
    <w:p w:rsidR="00E14EEC" w:rsidRDefault="00E14EEC" w:rsidP="00E14EEC">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این روایت عین کلمات امام نیست، راوی هر کسی که باشد که معلوم نیست کیست دارد چیزی را به امام علیه السلام نسبت می دهد و آن این است که حضرت کرِه سؤر ولد الزنا. در نزد ایشان این سإر مکروه لغوی بود.</w:t>
      </w:r>
    </w:p>
    <w:p w:rsidR="00E14EEC" w:rsidRDefault="00C8773E" w:rsidP="007216B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1.سور ولد الزنا 2</w:t>
      </w:r>
      <w:r w:rsidR="007216BC">
        <w:rPr>
          <w:rFonts w:ascii="Tahoma" w:eastAsia="Times New Roman" w:hAnsi="Tahoma" w:hint="cs"/>
          <w:sz w:val="24"/>
          <w:rtl/>
        </w:rPr>
        <w:t xml:space="preserve">. سور یهودی 3. نصرانی 4. مشرک </w:t>
      </w:r>
      <w:r w:rsidR="00E14EEC">
        <w:rPr>
          <w:rFonts w:ascii="Tahoma" w:eastAsia="Times New Roman" w:hAnsi="Tahoma" w:hint="cs"/>
          <w:sz w:val="24"/>
          <w:rtl/>
        </w:rPr>
        <w:t>5. هر مخالف اسلام</w:t>
      </w:r>
    </w:p>
    <w:p w:rsidR="00E14EEC" w:rsidRDefault="00E14EEC" w:rsidP="00E14EEC">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و از این 5 اشد سؤر ناصبی بود. رد این گونه روایات دو احتمال است یکی این که راوی فعل امام را سیره و روش امام را فهمیده است، دارد بیان می کند، امام اینگونه بود مثل روایاتی که بیانگر سیره پیغمبر اکرم صلی الله علیه و آله و سلم است.</w:t>
      </w:r>
    </w:p>
    <w:p w:rsidR="00E14EEC" w:rsidRDefault="00E14EEC" w:rsidP="00E14EE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احتمال دوم این است که نه حضرت فرموده است انی لاکره سؤر ولد الزنا تا آخر و کان اشد ذلک عندی سؤر الناصصب. امام این را فرموده است آن وقت ناقل به روایت خودش نقل می کند.</w:t>
      </w:r>
    </w:p>
    <w:p w:rsidR="00E14EEC" w:rsidRDefault="00E14EEC" w:rsidP="00E14EE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 xml:space="preserve">با غمض عین از سند که مرسله است وقتی این روایت بدرد می خورد که ما بدانیم این الفاظ توسط امام علیه السلام بکار برده شده است اما اگر صرف فعل امام باشد که در قول راوی نشان داده شده است. فعل گنگ است، زبان نداردف نهایت می فهمیم امام علیه السلام از خوردن این آسار بدش می آمده است اما آیا حرام است یا مکروه است یا حتی بگوییم شاید </w:t>
      </w:r>
      <w:r>
        <w:rPr>
          <w:rFonts w:ascii="Tahoma" w:eastAsia="Times New Roman" w:hAnsi="Tahoma" w:hint="cs"/>
          <w:sz w:val="24"/>
          <w:rtl/>
        </w:rPr>
        <w:lastRenderedPageBreak/>
        <w:t>برای ما مکروه هم نباشد مناسب شان امام علیه السلام نبوده است و این ثابت نشده است که این کلمات از خود حضرت است. این یک مشکل در روایت.</w:t>
      </w:r>
    </w:p>
    <w:p w:rsidR="00E14EEC" w:rsidRDefault="00E14EEC" w:rsidP="00E14EEC">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دوم فرض می کنیم امام فرموده باشند انی لاکرهُ و راوی هم گفته است «کَرِه امام» بارها گفته ایم لفظ کره در روایت به معنای لغوی است که نه صریح است در حرمت و نه حتی ظهور در حرمت دارد. بد آمدن اعم از این که حرام باشد یا مکروه باشد.</w:t>
      </w:r>
    </w:p>
    <w:p w:rsidR="007216BC" w:rsidRDefault="007216BC" w:rsidP="00E14EE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نکتۀ سوم؛ در این روایت سؤر ولد الزنا را هم در عِداد این آسار بیان کرده است و ما از خارج می دانیم سؤر ولد الزنا بما هو ولد الزنا نجس نیست. چه بسا این کلمه قرینه بتواند باشد بر اینکه در موارد دیگر هم نجاست نیست. اجتنابی است نهایتا مکروه.</w:t>
      </w:r>
    </w:p>
    <w:p w:rsidR="007216BC" w:rsidRDefault="007216BC" w:rsidP="00E14EE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نکتۀ چهارم؛ از کجا که سؤر یهودی، نصرانی، ولد الزنا، ناصبی، مشکل در خود این ها بوده است چه بسا بگوییم چون این ها معمولا رعایت نمی کنند که دستشان یا دهانشان آلوده است احتمال آلودگی به نجاسات عارضی در ابدان این ها بوده است البته این با آن جملۀ آخر سازگار نیست که فرمود ناصبی اشد است.</w:t>
      </w:r>
    </w:p>
    <w:p w:rsidR="007216BC" w:rsidRDefault="007216BC" w:rsidP="00E14EE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به هر حال این روایت سندا قابل قبول نیست دلالت اش هم دلالت قابل قبوللی نخواهد بود.</w:t>
      </w:r>
    </w:p>
    <w:p w:rsidR="007216BC" w:rsidRDefault="007216BC" w:rsidP="00E14EE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روایت بعدی؛ وسائل الشیعه، جلد 1، صفحۀ 275،</w:t>
      </w:r>
    </w:p>
    <w:p w:rsidR="007216BC" w:rsidRDefault="007216BC" w:rsidP="007216BC">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روایت از شیخ است در تهذیب</w:t>
      </w:r>
    </w:p>
    <w:p w:rsidR="007216BC" w:rsidRDefault="007216BC" w:rsidP="007216B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 xml:space="preserve">در وسائل گاهی اول سند دارد عنه، روایت قبلی که در اینجا هست(روایت چهارم باب) آن جا شیخ از محمد بن علی بن محبوب نقل کرده است. اینجا داریم عنه یعنی شیخ طوسی از محمد بن علی بن محبوب. </w:t>
      </w:r>
    </w:p>
    <w:p w:rsidR="007216BC" w:rsidRDefault="007216BC" w:rsidP="007216BC">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یعنی سند شیخ به محمد بن علی بن محبوب که سند معتبری است.</w:t>
      </w:r>
    </w:p>
    <w:p w:rsidR="007216BC" w:rsidRDefault="007216BC" w:rsidP="007216BC">
      <w:pPr>
        <w:shd w:val="clear" w:color="auto" w:fill="D9D9D9" w:themeFill="background1" w:themeFillShade="D9"/>
        <w:spacing w:line="360" w:lineRule="auto"/>
        <w:jc w:val="lowKashida"/>
        <w:rPr>
          <w:rFonts w:ascii="Tahoma" w:eastAsia="Times New Roman" w:hAnsi="Tahoma"/>
          <w:sz w:val="24"/>
          <w:rtl/>
        </w:rPr>
      </w:pPr>
      <w:r w:rsidRPr="007216BC">
        <w:rPr>
          <w:rFonts w:ascii="Tahoma" w:eastAsia="Times New Roman" w:hAnsi="Tahoma" w:hint="cs"/>
          <w:sz w:val="24"/>
          <w:rtl/>
        </w:rPr>
        <w:t xml:space="preserve">وَ عَنْهُ عَنْ أَبِي عَبْدِ اللَّهِ الرَّازِيِّ </w:t>
      </w:r>
      <w:r w:rsidRPr="007216BC">
        <w:rPr>
          <w:rFonts w:ascii="Tahoma" w:eastAsia="Times New Roman" w:hAnsi="Tahoma" w:hint="cs"/>
          <w:sz w:val="24"/>
          <w:rtl/>
        </w:rPr>
        <w:t>عَنِ الْحَسَنِ بْنِ عَلِيِّ بْنِ أَبِي حَمْزَةَ عَنْ سَيْفِ بْنِ عَمِيرَةَ عَنْ عِيسَى بْنِ عُمَرَ مَوْلَى الْأَنْصَارِ</w:t>
      </w:r>
    </w:p>
    <w:p w:rsidR="007216BC" w:rsidRDefault="007216BC" w:rsidP="007216BC">
      <w:pPr>
        <w:shd w:val="clear" w:color="auto" w:fill="D9D9D9" w:themeFill="background1" w:themeFillShade="D9"/>
        <w:spacing w:line="360" w:lineRule="auto"/>
        <w:jc w:val="lowKashida"/>
        <w:rPr>
          <w:rFonts w:ascii="Tahoma" w:eastAsia="Times New Roman" w:hAnsi="Tahoma"/>
          <w:sz w:val="24"/>
          <w:rtl/>
        </w:rPr>
      </w:pPr>
      <w:r w:rsidRPr="007216BC">
        <w:rPr>
          <w:rFonts w:ascii="Tahoma" w:eastAsia="Times New Roman" w:hAnsi="Tahoma" w:hint="cs"/>
          <w:sz w:val="24"/>
          <w:rtl/>
        </w:rPr>
        <w:t>عَنْ أَبِي عَبْدِ اللَّهِ الرَّازِيِّ</w:t>
      </w:r>
    </w:p>
    <w:p w:rsidR="007216BC" w:rsidRDefault="007216BC" w:rsidP="007216B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نام دیگری دارد ابی عبد الله جامورانی. این آقا را تعبیردر رجال هست که ضعِفه القمیون و از کتاب نوادر الحکمة استثناء شده است.</w:t>
      </w:r>
    </w:p>
    <w:p w:rsidR="007216BC" w:rsidRDefault="007216BC" w:rsidP="007216BC">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 xml:space="preserve">جناب محمد بن احمد بن یحیی کتابی دارد به نام نوادر الحکمة، قمیون با دقت هایی که داشتند کتاب را نقادی کردند، نتیجه نقادی کتاب این شده است که مواردی را استثناء کنند مثلا بگویند اگر در این کتاب روایتی از فلان فرد بود، ما آن را روایت را نمی پذیریم. به این موارد </w:t>
      </w:r>
      <w:r>
        <w:rPr>
          <w:rFonts w:ascii="Tahoma" w:eastAsia="Times New Roman" w:hAnsi="Tahoma" w:hint="cs"/>
          <w:sz w:val="24"/>
          <w:rtl/>
        </w:rPr>
        <w:lastRenderedPageBreak/>
        <w:t>می گویند مستثنیات کتاب نوادر الحکمة. جناب ابو عبدالله رازی الجامورانی از جملۀ این مستثنیات است.</w:t>
      </w:r>
    </w:p>
    <w:p w:rsidR="007216BC" w:rsidRDefault="007216BC" w:rsidP="007216B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این استثناء دو لسان دارد یک لسان اش این است که این موارد استثناء شده را ما قبول نداریم، دوم این که کسانی که استثناء نشده اند قابل قبول اند. این دومی را تصریح نکرده اند، می خواهیم از لسان استثناء مفهوم گیری بکینم. این دومی مورد بحث است ک هآیا صرف عدم استثناء قرینه بر وثاقت عند القمیین هست یا نه؟ ما به عنوان یک قرینه قبول می کنیم ولی نه به عنوان دلیل بر وثاقت. به هر حال نام ابو عبد الله جزء مستثنیات است و قمیین او را استثنائ کرده اند. ابن غضائری با اینکه در مواردی با تضعیف موافق است و در مواردی هم با تضعیف قمیین مخالفت کرده است. این جا نقل تضعیف کرده است اشکالی هم نکرده است.</w:t>
      </w:r>
    </w:p>
    <w:p w:rsidR="007216BC" w:rsidRDefault="007216BC" w:rsidP="007216BC">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می گوید ضعّفه القمیون و استثنوا من کتاب نوادر الحکمة ما رواه</w:t>
      </w:r>
      <w:r w:rsidR="00C8773E">
        <w:rPr>
          <w:rFonts w:ascii="Tahoma" w:eastAsia="Times New Roman" w:hAnsi="Tahoma" w:hint="cs"/>
          <w:sz w:val="24"/>
          <w:rtl/>
        </w:rPr>
        <w:t>.</w:t>
      </w:r>
    </w:p>
    <w:p w:rsidR="00C8773E" w:rsidRDefault="00C8773E" w:rsidP="007216BC">
      <w:pPr>
        <w:shd w:val="clear" w:color="auto" w:fill="D9D9D9" w:themeFill="background1" w:themeFillShade="D9"/>
        <w:spacing w:line="360" w:lineRule="auto"/>
        <w:jc w:val="lowKashida"/>
        <w:rPr>
          <w:rFonts w:ascii="Tahoma" w:eastAsia="Times New Roman" w:hAnsi="Tahoma"/>
          <w:sz w:val="24"/>
          <w:rtl/>
        </w:rPr>
      </w:pPr>
      <w:r w:rsidRPr="007216BC">
        <w:rPr>
          <w:rFonts w:ascii="Tahoma" w:eastAsia="Times New Roman" w:hAnsi="Tahoma" w:hint="cs"/>
          <w:sz w:val="24"/>
          <w:rtl/>
        </w:rPr>
        <w:t>عَنِ الْحَسَنِ بْنِ عَلِيِّ بْنِ أَبِي حَمْزَةَ</w:t>
      </w:r>
    </w:p>
    <w:p w:rsidR="00C8773E" w:rsidRDefault="00C8773E" w:rsidP="007216BC">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ایشان ضعیف است.</w:t>
      </w:r>
    </w:p>
    <w:p w:rsidR="00C8773E" w:rsidRDefault="00C8773E" w:rsidP="007216BC">
      <w:pPr>
        <w:shd w:val="clear" w:color="auto" w:fill="D9D9D9" w:themeFill="background1" w:themeFillShade="D9"/>
        <w:spacing w:line="360" w:lineRule="auto"/>
        <w:jc w:val="lowKashida"/>
        <w:rPr>
          <w:rFonts w:ascii="Tahoma" w:eastAsia="Times New Roman" w:hAnsi="Tahoma" w:hint="cs"/>
          <w:sz w:val="24"/>
          <w:rtl/>
        </w:rPr>
      </w:pPr>
      <w:r w:rsidRPr="007216BC">
        <w:rPr>
          <w:rFonts w:ascii="Tahoma" w:eastAsia="Times New Roman" w:hAnsi="Tahoma" w:hint="cs"/>
          <w:sz w:val="24"/>
          <w:rtl/>
        </w:rPr>
        <w:t>عَنْ سَيْفِ بْنِ عَمِيرَةَ</w:t>
      </w:r>
    </w:p>
    <w:p w:rsidR="00C8773E" w:rsidRDefault="00C8773E" w:rsidP="00C8773E">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در بعضی جا ها ضبط شده است، عُمیره ولی درست همان عَمیره است.(رک: ایضاح الاشتباه، علامه حلی) سیف مشکلی ندارد.</w:t>
      </w:r>
    </w:p>
    <w:p w:rsidR="00C8773E" w:rsidRDefault="00C8773E" w:rsidP="00C8773E">
      <w:pPr>
        <w:shd w:val="clear" w:color="auto" w:fill="D9D9D9" w:themeFill="background1" w:themeFillShade="D9"/>
        <w:spacing w:line="360" w:lineRule="auto"/>
        <w:jc w:val="lowKashida"/>
        <w:rPr>
          <w:rFonts w:ascii="Tahoma" w:eastAsia="Times New Roman" w:hAnsi="Tahoma"/>
          <w:sz w:val="24"/>
          <w:rtl/>
        </w:rPr>
      </w:pPr>
      <w:r w:rsidRPr="007216BC">
        <w:rPr>
          <w:rFonts w:ascii="Tahoma" w:eastAsia="Times New Roman" w:hAnsi="Tahoma" w:hint="cs"/>
          <w:sz w:val="24"/>
          <w:rtl/>
        </w:rPr>
        <w:t>عَنْ عِيسَى بْنِ عُمَرَ مَوْلَى الْأَنْصَارِ</w:t>
      </w:r>
    </w:p>
    <w:p w:rsidR="00C8773E" w:rsidRDefault="00C8773E" w:rsidP="007216BC">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این آقا هم مجهول الحال است.</w:t>
      </w:r>
    </w:p>
    <w:p w:rsidR="00C8773E" w:rsidRDefault="00C8773E" w:rsidP="007216BC">
      <w:pPr>
        <w:shd w:val="clear" w:color="auto" w:fill="D9D9D9" w:themeFill="background1" w:themeFillShade="D9"/>
        <w:spacing w:line="360" w:lineRule="auto"/>
        <w:jc w:val="lowKashida"/>
        <w:rPr>
          <w:rFonts w:ascii="Tahoma" w:eastAsia="Times New Roman" w:hAnsi="Tahoma"/>
          <w:sz w:val="24"/>
        </w:rPr>
      </w:pPr>
      <w:r>
        <w:rPr>
          <w:rFonts w:ascii="Tahoma" w:eastAsia="Times New Roman" w:hAnsi="Tahoma" w:hint="cs"/>
          <w:sz w:val="24"/>
          <w:rtl/>
        </w:rPr>
        <w:t>پس سند هم از جهت حسن بن علی هم از جهت ابو عبدالله رازی و هم از جهت عیسی بن عمر قابل اعتماد نیست.</w:t>
      </w:r>
    </w:p>
    <w:p w:rsidR="007216BC" w:rsidRDefault="007216BC" w:rsidP="00C8773E">
      <w:pPr>
        <w:shd w:val="clear" w:color="auto" w:fill="D9D9D9" w:themeFill="background1" w:themeFillShade="D9"/>
        <w:spacing w:line="360" w:lineRule="auto"/>
        <w:jc w:val="lowKashida"/>
        <w:rPr>
          <w:rFonts w:ascii="Tahoma" w:eastAsia="Times New Roman" w:hAnsi="Tahoma"/>
          <w:sz w:val="24"/>
          <w:rtl/>
        </w:rPr>
      </w:pPr>
      <w:r w:rsidRPr="007216BC">
        <w:rPr>
          <w:rFonts w:ascii="Tahoma" w:eastAsia="Times New Roman" w:hAnsi="Tahoma" w:hint="cs"/>
          <w:sz w:val="24"/>
          <w:rtl/>
        </w:rPr>
        <w:t>أَنَّهُ سَأَلَ أَبَا عَبْدِ اللَّهِ ع عَنِ الرَّجُلِ يَحِلُّ لَهُ أَنْ يُصَافِحَ الْمَجُوسِيَّ فَقَالَ لَا فَسَأَلَهُ أَ يَتَوَضَّأُ إِذَا صَافَحَهُمْ قَالَ نَعَمْ إِنَّ مُصَافَحَتَهُمْ تَنْقُضُ الْوُضُوءَ.</w:t>
      </w:r>
    </w:p>
    <w:p w:rsidR="00C8773E" w:rsidRDefault="00C8773E" w:rsidP="00C8773E">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سوال از مصافحه کردن با مجوسی است، امام می فرماید «لا» ظهور «لا» یعنی «لا یحل». گفته اند این « لا یحل» ظهور در حرمت دارد و حرمت مصافحه هم علتی ندارد جز نجاست آن.</w:t>
      </w:r>
    </w:p>
    <w:p w:rsidR="00C8773E" w:rsidRDefault="00C8773E" w:rsidP="00C8773E">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سوال دوم ظاهر عبارت این است که آیا ناقض وضوء هم هست یا نه؟ می فرماید بله «</w:t>
      </w:r>
      <w:r w:rsidRPr="00C8773E">
        <w:rPr>
          <w:rFonts w:ascii="Tahoma" w:eastAsia="Times New Roman" w:hAnsi="Tahoma" w:hint="cs"/>
          <w:sz w:val="24"/>
          <w:rtl/>
        </w:rPr>
        <w:t xml:space="preserve"> </w:t>
      </w:r>
      <w:r w:rsidRPr="007216BC">
        <w:rPr>
          <w:rFonts w:ascii="Tahoma" w:eastAsia="Times New Roman" w:hAnsi="Tahoma" w:hint="cs"/>
          <w:sz w:val="24"/>
          <w:rtl/>
        </w:rPr>
        <w:t>إِنَّ مُصَافَحَتَهُمْ تَنْقُضُ الْوُضُوءَ</w:t>
      </w:r>
      <w:r>
        <w:rPr>
          <w:rFonts w:ascii="Tahoma" w:eastAsia="Times New Roman" w:hAnsi="Tahoma" w:hint="cs"/>
          <w:sz w:val="24"/>
          <w:rtl/>
        </w:rPr>
        <w:t>»</w:t>
      </w:r>
    </w:p>
    <w:p w:rsidR="00C8773E" w:rsidRDefault="00C8773E" w:rsidP="00C8773E">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 xml:space="preserve">اگر وضوء به همان معنای معهود و وضوء اصطلاحی باشد روایت چیزی را می گوید که کسی به آن فتوا نمی دهد و خود این ارزش روایت را کم می کند لذا برخی توجیه کرده اند که شاید </w:t>
      </w:r>
      <w:r>
        <w:rPr>
          <w:rFonts w:ascii="Tahoma" w:eastAsia="Times New Roman" w:hAnsi="Tahoma" w:hint="cs"/>
          <w:sz w:val="24"/>
          <w:rtl/>
        </w:rPr>
        <w:lastRenderedPageBreak/>
        <w:t>همان گونه که در بعضی از روایات هم هست مراد از وضوء، مطلق غَسل است. معنایش این است که اگر به آن ها دست زدید دستت را مجددا بشور. این توجیه هم خود خیلی موؤنه می برد. لذا از این روایت باید صرف نظر کرد علاوه بر اینکه شاید بتوان گفت اساسا در این روایت بحث نجاست مطرح نیست می خواهد یک نوع دور شدن و عدم ارتباط مجوس را امام علیه السلام بیان کند نه این که حتما آن ها نجس هم باشند. علاوه بر این که تاکنون دیدید لسان روایات نسبت به مجوس اشد است از یهود و نصاری.</w:t>
      </w:r>
    </w:p>
    <w:p w:rsidR="00C8773E" w:rsidRDefault="00C8773E" w:rsidP="00C8773E">
      <w:pPr>
        <w:shd w:val="clear" w:color="auto" w:fill="D9D9D9" w:themeFill="background1" w:themeFillShade="D9"/>
        <w:spacing w:line="360" w:lineRule="auto"/>
        <w:jc w:val="lowKashida"/>
        <w:rPr>
          <w:rFonts w:ascii="Tahoma" w:eastAsia="Times New Roman" w:hAnsi="Tahoma"/>
          <w:sz w:val="24"/>
        </w:rPr>
      </w:pPr>
      <w:r>
        <w:rPr>
          <w:rFonts w:ascii="Tahoma" w:eastAsia="Times New Roman" w:hAnsi="Tahoma" w:hint="cs"/>
          <w:sz w:val="24"/>
          <w:rtl/>
        </w:rPr>
        <w:t>در وسائل الشیعه، ابواب نجاسات، باب 14، حدیث 12، ج 3، ص 422 و نیز ج 24 ص 212 باب 54، ابواب اطعمه، حدیث 8:</w:t>
      </w:r>
    </w:p>
    <w:p w:rsidR="00C8773E" w:rsidRDefault="00C8773E" w:rsidP="002B19A2">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 xml:space="preserve">روایت را </w:t>
      </w:r>
      <w:r w:rsidR="002B19A2">
        <w:rPr>
          <w:rFonts w:ascii="Tahoma" w:eastAsia="Times New Roman" w:hAnsi="Tahoma" w:hint="cs"/>
          <w:sz w:val="24"/>
          <w:rtl/>
        </w:rPr>
        <w:t>از</w:t>
      </w:r>
      <w:r>
        <w:rPr>
          <w:rFonts w:ascii="Tahoma" w:eastAsia="Times New Roman" w:hAnsi="Tahoma" w:hint="cs"/>
          <w:sz w:val="24"/>
          <w:rtl/>
        </w:rPr>
        <w:t xml:space="preserve"> محاسن برقی نقل می کند. روایت در من لا یحضره الفقیه هم هست ج 3</w:t>
      </w:r>
      <w:r w:rsidR="002B19A2">
        <w:rPr>
          <w:rFonts w:ascii="Tahoma" w:eastAsia="Times New Roman" w:hAnsi="Tahoma" w:hint="cs"/>
          <w:sz w:val="24"/>
          <w:rtl/>
        </w:rPr>
        <w:t>، ص 219 به اسنا دصدوق تا زراره.</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سند صدوق سند تامی است چون صدوق به زراره اسنادی دارد که بعضی زا آن ها قابل اشکال نیست. اما سند برقی:</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sidRPr="002B19A2">
        <w:rPr>
          <w:rFonts w:ascii="Tahoma" w:eastAsia="Times New Roman" w:hAnsi="Tahoma" w:hint="cs"/>
          <w:sz w:val="24"/>
          <w:rtl/>
        </w:rPr>
        <w:t xml:space="preserve">أَحْمَدُ بْنُ أَبِي عَبْدِ اللَّهِ الْبَرْقِيُّ فِي الْمَحَاسِنِ عَنْ مُحَمَّدِ بْنِ عِيسَى عَنْ صَفْوَانَ بْنِ يَحْيَى عَنْ مُوسَى بْنِ بَكْرٍ عَنْ زُرَارَةَ </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sidRPr="002B19A2">
        <w:rPr>
          <w:rFonts w:ascii="Tahoma" w:eastAsia="Times New Roman" w:hAnsi="Tahoma" w:hint="cs"/>
          <w:sz w:val="24"/>
          <w:rtl/>
        </w:rPr>
        <w:t>عَنْ مُحَمَّدِ بْنِ عِيسَى</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مراد محمد بن عیسی یقطینی است. ایشان جزء مستثناء نوادر الحکمة است ولی در این مورد بالخصوص دلیل داریم که استثناء آن ها دلالت بر ضعف ندارد و شخص موثقی است.</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sidRPr="002B19A2">
        <w:rPr>
          <w:rFonts w:ascii="Tahoma" w:eastAsia="Times New Roman" w:hAnsi="Tahoma" w:hint="cs"/>
          <w:sz w:val="24"/>
          <w:rtl/>
        </w:rPr>
        <w:t>عَنْ صَفْوَانَ بْنِ يَحْيَى</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صفوان بن یحیی هم که از اصحاب اجماع است.</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sidRPr="002B19A2">
        <w:rPr>
          <w:rFonts w:ascii="Tahoma" w:eastAsia="Times New Roman" w:hAnsi="Tahoma" w:hint="cs"/>
          <w:sz w:val="24"/>
          <w:rtl/>
        </w:rPr>
        <w:t>مُوسَى بْنِ بَكْرٍ</w:t>
      </w:r>
    </w:p>
    <w:p w:rsidR="002B19A2" w:rsidRDefault="002B19A2" w:rsidP="002B19A2">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واقفی است اما چون از رجال صفوان بن یحیی است و صفوان بن یحیی هم از لا یروی و لا یرسل الا عن ثقة</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sidRPr="002B19A2">
        <w:rPr>
          <w:rFonts w:ascii="Tahoma" w:eastAsia="Times New Roman" w:hAnsi="Tahoma" w:hint="cs"/>
          <w:sz w:val="24"/>
          <w:rtl/>
        </w:rPr>
        <w:t xml:space="preserve">عَنْ زُرَارَةَ </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پس سند برقی هم منتهی شد به زراره.</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شما به این سند هم که خدشه وارد کنید سند صدوق باقی است که سند صحیحی است.</w:t>
      </w:r>
    </w:p>
    <w:p w:rsidR="002B19A2" w:rsidRDefault="002B19A2" w:rsidP="002B19A2">
      <w:pPr>
        <w:shd w:val="clear" w:color="auto" w:fill="D9D9D9" w:themeFill="background1" w:themeFillShade="D9"/>
        <w:spacing w:line="360" w:lineRule="auto"/>
        <w:jc w:val="lowKashida"/>
        <w:rPr>
          <w:rFonts w:ascii="Tahoma" w:eastAsia="Times New Roman" w:hAnsi="Tahoma"/>
          <w:sz w:val="24"/>
          <w:rtl/>
        </w:rPr>
      </w:pPr>
      <w:r w:rsidRPr="002B19A2">
        <w:rPr>
          <w:rFonts w:ascii="Tahoma" w:eastAsia="Times New Roman" w:hAnsi="Tahoma" w:hint="cs"/>
          <w:sz w:val="24"/>
          <w:rtl/>
        </w:rPr>
        <w:t>عَنْ أَبِي عَبْدِ اللَّهِ ع‏ فِي آنِيَةِ الْمَجُوسِ قَالَ إِذَا اضْطُرِرْتُمْ إِلَيْهَا فَاغْسِلُوهَا بِالْمَاءِ.</w:t>
      </w:r>
    </w:p>
    <w:p w:rsidR="00021025" w:rsidRDefault="00021025" w:rsidP="002B19A2">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lastRenderedPageBreak/>
        <w:t>آن هایی که به این روایت استناد استناد می کند این چنین می گویند که از روایت استفاده می شود که در غیر صورتی ناچاری حتی در صورتی هم که شستو شو صورت بگیرد مکروه است اما اگر اضطرار و ناچاری بود با شستوشو مانعی ندارد.</w:t>
      </w:r>
    </w:p>
    <w:p w:rsidR="00021025" w:rsidRDefault="00021025" w:rsidP="002B19A2">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این نشان می دهد که ظرف آن ها نجس است و الا لازم نبود امر به شستوشو بشود.</w:t>
      </w:r>
    </w:p>
    <w:p w:rsidR="00021025" w:rsidRDefault="00021025" w:rsidP="002B19A2">
      <w:pPr>
        <w:shd w:val="clear" w:color="auto" w:fill="D9D9D9" w:themeFill="background1" w:themeFillShade="D9"/>
        <w:spacing w:line="360" w:lineRule="auto"/>
        <w:jc w:val="lowKashida"/>
        <w:rPr>
          <w:rFonts w:ascii="Tahoma" w:eastAsia="Times New Roman" w:hAnsi="Tahoma" w:hint="cs"/>
          <w:sz w:val="24"/>
          <w:rtl/>
        </w:rPr>
      </w:pPr>
      <w:r>
        <w:rPr>
          <w:rFonts w:ascii="Tahoma" w:eastAsia="Times New Roman" w:hAnsi="Tahoma" w:hint="cs"/>
          <w:sz w:val="24"/>
          <w:rtl/>
        </w:rPr>
        <w:t>جواب این است که لزوم  غسل ظرف اعم است از اینکه :</w:t>
      </w:r>
    </w:p>
    <w:p w:rsidR="00021025" w:rsidRDefault="00021025" w:rsidP="00021025">
      <w:pPr>
        <w:pStyle w:val="ListParagraph"/>
        <w:numPr>
          <w:ilvl w:val="0"/>
          <w:numId w:val="25"/>
        </w:numPr>
        <w:shd w:val="clear" w:color="auto" w:fill="D9D9D9" w:themeFill="background1" w:themeFillShade="D9"/>
        <w:spacing w:line="360" w:lineRule="auto"/>
        <w:jc w:val="lowKashida"/>
        <w:rPr>
          <w:rFonts w:ascii="Tahoma" w:eastAsia="Times New Roman" w:hAnsi="Tahoma" w:hint="cs"/>
          <w:sz w:val="24"/>
        </w:rPr>
      </w:pPr>
      <w:r>
        <w:rPr>
          <w:rFonts w:ascii="Tahoma" w:eastAsia="Times New Roman" w:hAnsi="Tahoma" w:hint="cs"/>
          <w:sz w:val="24"/>
          <w:rtl/>
        </w:rPr>
        <w:t>به جهت نجاست ذاتی آن ها باشد.</w:t>
      </w:r>
    </w:p>
    <w:p w:rsidR="00021025" w:rsidRDefault="00021025" w:rsidP="00021025">
      <w:pPr>
        <w:pStyle w:val="ListParagraph"/>
        <w:numPr>
          <w:ilvl w:val="0"/>
          <w:numId w:val="25"/>
        </w:numPr>
        <w:shd w:val="clear" w:color="auto" w:fill="D9D9D9" w:themeFill="background1" w:themeFillShade="D9"/>
        <w:spacing w:line="360" w:lineRule="auto"/>
        <w:jc w:val="lowKashida"/>
        <w:rPr>
          <w:rFonts w:ascii="Tahoma" w:eastAsia="Times New Roman" w:hAnsi="Tahoma" w:hint="cs"/>
          <w:sz w:val="24"/>
        </w:rPr>
      </w:pPr>
      <w:r>
        <w:rPr>
          <w:rFonts w:ascii="Tahoma" w:eastAsia="Times New Roman" w:hAnsi="Tahoma" w:hint="cs"/>
          <w:sz w:val="24"/>
          <w:rtl/>
        </w:rPr>
        <w:t>به جهت این که در این ظرف ها خوک و امثال این ها طبخ و خورده می شود اغسلوها. اگر این باشد دلالت بر مدعای ما نخواهد داشت.</w:t>
      </w:r>
    </w:p>
    <w:p w:rsidR="00021025" w:rsidRDefault="00021025" w:rsidP="00021025">
      <w:pPr>
        <w:pStyle w:val="ListParagraph"/>
        <w:numPr>
          <w:ilvl w:val="0"/>
          <w:numId w:val="25"/>
        </w:numPr>
        <w:shd w:val="clear" w:color="auto" w:fill="D9D9D9" w:themeFill="background1" w:themeFillShade="D9"/>
        <w:spacing w:line="360" w:lineRule="auto"/>
        <w:jc w:val="lowKashida"/>
        <w:rPr>
          <w:rFonts w:ascii="Tahoma" w:eastAsia="Times New Roman" w:hAnsi="Tahoma" w:hint="cs"/>
          <w:sz w:val="24"/>
        </w:rPr>
      </w:pPr>
      <w:r>
        <w:rPr>
          <w:rFonts w:ascii="Tahoma" w:eastAsia="Times New Roman" w:hAnsi="Tahoma" w:hint="cs"/>
          <w:sz w:val="24"/>
          <w:rtl/>
        </w:rPr>
        <w:t>بگوییم اساسا به این جهت است که ما از آن ها اجتناب کنیم.</w:t>
      </w:r>
    </w:p>
    <w:p w:rsidR="00021025" w:rsidRPr="00021025" w:rsidRDefault="00021025" w:rsidP="00021025">
      <w:pPr>
        <w:pStyle w:val="ListParagraph"/>
        <w:shd w:val="clear" w:color="auto" w:fill="D9D9D9" w:themeFill="background1" w:themeFillShade="D9"/>
        <w:spacing w:line="360" w:lineRule="auto"/>
        <w:jc w:val="lowKashida"/>
        <w:rPr>
          <w:rFonts w:ascii="Tahoma" w:eastAsia="Times New Roman" w:hAnsi="Tahoma"/>
          <w:sz w:val="24"/>
        </w:rPr>
      </w:pPr>
      <w:r>
        <w:rPr>
          <w:rFonts w:ascii="Tahoma" w:eastAsia="Times New Roman" w:hAnsi="Tahoma" w:hint="cs"/>
          <w:sz w:val="24"/>
          <w:rtl/>
        </w:rPr>
        <w:t>از احتمال سوم که بگذریم دو احتمال دیگر باقی است صرف اینکه غسل واجب است دلالت بر نجاست نمی کند.</w:t>
      </w:r>
      <w:bookmarkStart w:id="0" w:name="_GoBack"/>
      <w:bookmarkEnd w:id="0"/>
    </w:p>
    <w:p w:rsidR="00595823" w:rsidRPr="00600930" w:rsidRDefault="0016130A" w:rsidP="00600930">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و صلی الله علی محمد و اهل بیته الطیبین الطاهرین.</w:t>
      </w:r>
    </w:p>
    <w:sectPr w:rsidR="00595823" w:rsidRPr="00600930"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75E" w:rsidRDefault="00EF175E" w:rsidP="00842A39">
      <w:pPr>
        <w:spacing w:after="0" w:line="240" w:lineRule="auto"/>
      </w:pPr>
      <w:r>
        <w:separator/>
      </w:r>
    </w:p>
  </w:endnote>
  <w:endnote w:type="continuationSeparator" w:id="0">
    <w:p w:rsidR="00EF175E" w:rsidRDefault="00EF175E"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021025">
      <w:rPr>
        <w:rFonts w:ascii="Tahoma" w:hAnsi="Tahoma"/>
        <w:caps/>
        <w:noProof/>
        <w:sz w:val="24"/>
        <w:rtl/>
      </w:rPr>
      <w:t>5</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75E" w:rsidRDefault="00EF175E" w:rsidP="00842A39">
      <w:pPr>
        <w:spacing w:after="0" w:line="240" w:lineRule="auto"/>
      </w:pPr>
      <w:r>
        <w:separator/>
      </w:r>
    </w:p>
  </w:footnote>
  <w:footnote w:type="continuationSeparator" w:id="0">
    <w:p w:rsidR="00EF175E" w:rsidRDefault="00EF175E" w:rsidP="00842A39">
      <w:pPr>
        <w:spacing w:after="0" w:line="240" w:lineRule="auto"/>
      </w:pPr>
      <w:r>
        <w:continuationSeparator/>
      </w:r>
    </w:p>
  </w:footnote>
  <w:footnote w:id="1">
    <w:p w:rsidR="00E14EEC" w:rsidRDefault="00E14EEC" w:rsidP="00E14EEC">
      <w:pPr>
        <w:pStyle w:val="FootnoteText"/>
        <w:rPr>
          <w:rtl/>
        </w:rPr>
      </w:pPr>
      <w:r>
        <w:rPr>
          <w:rStyle w:val="FootnoteReference"/>
        </w:rPr>
        <w:footnoteRef/>
      </w:r>
      <w:r>
        <w:rPr>
          <w:rtl/>
        </w:rPr>
        <w:t xml:space="preserve"> ( 6)- كتب المصنّف فوقها( من) عن نسخة.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013508">
          <w:rPr>
            <w:rFonts w:hint="cs"/>
            <w:sz w:val="24"/>
            <w:rtl/>
          </w:rPr>
          <w:t>فقه</w:t>
        </w:r>
        <w:r w:rsidR="00233EE5">
          <w:rPr>
            <w:rFonts w:hint="cs"/>
            <w:sz w:val="24"/>
            <w:rtl/>
          </w:rPr>
          <w:t>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4"/>
  </w:num>
  <w:num w:numId="3">
    <w:abstractNumId w:val="13"/>
  </w:num>
  <w:num w:numId="4">
    <w:abstractNumId w:val="8"/>
  </w:num>
  <w:num w:numId="5">
    <w:abstractNumId w:val="11"/>
  </w:num>
  <w:num w:numId="6">
    <w:abstractNumId w:val="4"/>
  </w:num>
  <w:num w:numId="7">
    <w:abstractNumId w:val="16"/>
  </w:num>
  <w:num w:numId="8">
    <w:abstractNumId w:val="23"/>
  </w:num>
  <w:num w:numId="9">
    <w:abstractNumId w:val="0"/>
  </w:num>
  <w:num w:numId="10">
    <w:abstractNumId w:val="10"/>
  </w:num>
  <w:num w:numId="11">
    <w:abstractNumId w:val="15"/>
  </w:num>
  <w:num w:numId="12">
    <w:abstractNumId w:val="20"/>
  </w:num>
  <w:num w:numId="13">
    <w:abstractNumId w:val="1"/>
  </w:num>
  <w:num w:numId="14">
    <w:abstractNumId w:val="5"/>
  </w:num>
  <w:num w:numId="15">
    <w:abstractNumId w:val="24"/>
  </w:num>
  <w:num w:numId="16">
    <w:abstractNumId w:val="19"/>
  </w:num>
  <w:num w:numId="17">
    <w:abstractNumId w:val="7"/>
  </w:num>
  <w:num w:numId="18">
    <w:abstractNumId w:val="12"/>
  </w:num>
  <w:num w:numId="19">
    <w:abstractNumId w:val="9"/>
  </w:num>
  <w:num w:numId="20">
    <w:abstractNumId w:val="18"/>
  </w:num>
  <w:num w:numId="21">
    <w:abstractNumId w:val="17"/>
  </w:num>
  <w:num w:numId="22">
    <w:abstractNumId w:val="2"/>
  </w:num>
  <w:num w:numId="23">
    <w:abstractNumId w:val="6"/>
  </w:num>
  <w:num w:numId="24">
    <w:abstractNumId w:val="2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55F"/>
    <w:rsid w:val="000316B2"/>
    <w:rsid w:val="00033439"/>
    <w:rsid w:val="000477E9"/>
    <w:rsid w:val="000521E5"/>
    <w:rsid w:val="00065B14"/>
    <w:rsid w:val="00075AB7"/>
    <w:rsid w:val="00085160"/>
    <w:rsid w:val="000A58ED"/>
    <w:rsid w:val="000A79C5"/>
    <w:rsid w:val="000B3902"/>
    <w:rsid w:val="000B418D"/>
    <w:rsid w:val="000B48DA"/>
    <w:rsid w:val="000C3AE8"/>
    <w:rsid w:val="000C7D9D"/>
    <w:rsid w:val="000E45C7"/>
    <w:rsid w:val="000E5E99"/>
    <w:rsid w:val="000F0A4F"/>
    <w:rsid w:val="000F72B4"/>
    <w:rsid w:val="00107E9E"/>
    <w:rsid w:val="00113436"/>
    <w:rsid w:val="00121404"/>
    <w:rsid w:val="001323F2"/>
    <w:rsid w:val="00143822"/>
    <w:rsid w:val="00154B88"/>
    <w:rsid w:val="0016130A"/>
    <w:rsid w:val="0016772D"/>
    <w:rsid w:val="001A7DED"/>
    <w:rsid w:val="001B481C"/>
    <w:rsid w:val="001C073C"/>
    <w:rsid w:val="001E18B6"/>
    <w:rsid w:val="001E1DD2"/>
    <w:rsid w:val="001F4DAB"/>
    <w:rsid w:val="00233EE5"/>
    <w:rsid w:val="00244282"/>
    <w:rsid w:val="00250A1D"/>
    <w:rsid w:val="00255BA1"/>
    <w:rsid w:val="002613AF"/>
    <w:rsid w:val="002676E3"/>
    <w:rsid w:val="00271AEF"/>
    <w:rsid w:val="0027256D"/>
    <w:rsid w:val="00277402"/>
    <w:rsid w:val="002811C9"/>
    <w:rsid w:val="00281825"/>
    <w:rsid w:val="0028580B"/>
    <w:rsid w:val="002A05A9"/>
    <w:rsid w:val="002A0B26"/>
    <w:rsid w:val="002A2852"/>
    <w:rsid w:val="002B19A2"/>
    <w:rsid w:val="002B5D3F"/>
    <w:rsid w:val="002C2D9C"/>
    <w:rsid w:val="002C2E80"/>
    <w:rsid w:val="002E595C"/>
    <w:rsid w:val="002E7ECC"/>
    <w:rsid w:val="003035E9"/>
    <w:rsid w:val="00316ED3"/>
    <w:rsid w:val="00336EA1"/>
    <w:rsid w:val="003642F9"/>
    <w:rsid w:val="00376B73"/>
    <w:rsid w:val="003855A5"/>
    <w:rsid w:val="00386E2F"/>
    <w:rsid w:val="003A4374"/>
    <w:rsid w:val="003B018C"/>
    <w:rsid w:val="003C53E9"/>
    <w:rsid w:val="003D4199"/>
    <w:rsid w:val="003D7059"/>
    <w:rsid w:val="003D7434"/>
    <w:rsid w:val="003E318D"/>
    <w:rsid w:val="0041002B"/>
    <w:rsid w:val="00410FA8"/>
    <w:rsid w:val="00423B32"/>
    <w:rsid w:val="00432700"/>
    <w:rsid w:val="00445CE2"/>
    <w:rsid w:val="00450696"/>
    <w:rsid w:val="004558EC"/>
    <w:rsid w:val="00470745"/>
    <w:rsid w:val="004853E6"/>
    <w:rsid w:val="004A4DB6"/>
    <w:rsid w:val="004B2851"/>
    <w:rsid w:val="004E13C2"/>
    <w:rsid w:val="004F0527"/>
    <w:rsid w:val="004F1639"/>
    <w:rsid w:val="00501EFD"/>
    <w:rsid w:val="00516D03"/>
    <w:rsid w:val="00521ACD"/>
    <w:rsid w:val="005365E1"/>
    <w:rsid w:val="00544F85"/>
    <w:rsid w:val="00545D58"/>
    <w:rsid w:val="00550FC8"/>
    <w:rsid w:val="005531E4"/>
    <w:rsid w:val="00555BA1"/>
    <w:rsid w:val="00556997"/>
    <w:rsid w:val="005613CB"/>
    <w:rsid w:val="00562F93"/>
    <w:rsid w:val="00563DCF"/>
    <w:rsid w:val="00576C8A"/>
    <w:rsid w:val="00595823"/>
    <w:rsid w:val="005B1378"/>
    <w:rsid w:val="005C2211"/>
    <w:rsid w:val="005C5C81"/>
    <w:rsid w:val="005D17AB"/>
    <w:rsid w:val="005D2772"/>
    <w:rsid w:val="005D6CDE"/>
    <w:rsid w:val="005E266A"/>
    <w:rsid w:val="00600930"/>
    <w:rsid w:val="006079A6"/>
    <w:rsid w:val="00610F4C"/>
    <w:rsid w:val="00613118"/>
    <w:rsid w:val="006265BC"/>
    <w:rsid w:val="00630F0A"/>
    <w:rsid w:val="006354C6"/>
    <w:rsid w:val="006568AB"/>
    <w:rsid w:val="0066055A"/>
    <w:rsid w:val="00663F03"/>
    <w:rsid w:val="006657BA"/>
    <w:rsid w:val="00665DE1"/>
    <w:rsid w:val="00682A67"/>
    <w:rsid w:val="006A50CD"/>
    <w:rsid w:val="006B7C34"/>
    <w:rsid w:val="006E4151"/>
    <w:rsid w:val="006E63FD"/>
    <w:rsid w:val="006F0B90"/>
    <w:rsid w:val="006F2E3F"/>
    <w:rsid w:val="006F502F"/>
    <w:rsid w:val="00706ECD"/>
    <w:rsid w:val="0070719B"/>
    <w:rsid w:val="00711066"/>
    <w:rsid w:val="007216BC"/>
    <w:rsid w:val="00724097"/>
    <w:rsid w:val="00735FA1"/>
    <w:rsid w:val="00741948"/>
    <w:rsid w:val="00767215"/>
    <w:rsid w:val="00773C5C"/>
    <w:rsid w:val="00775B47"/>
    <w:rsid w:val="007A0F71"/>
    <w:rsid w:val="007A341C"/>
    <w:rsid w:val="007A677A"/>
    <w:rsid w:val="007A7797"/>
    <w:rsid w:val="007B41C7"/>
    <w:rsid w:val="007C159F"/>
    <w:rsid w:val="007C53AC"/>
    <w:rsid w:val="007D4B52"/>
    <w:rsid w:val="007F47C8"/>
    <w:rsid w:val="008053ED"/>
    <w:rsid w:val="0080714B"/>
    <w:rsid w:val="00814F95"/>
    <w:rsid w:val="00817A5C"/>
    <w:rsid w:val="008203E5"/>
    <w:rsid w:val="008409AA"/>
    <w:rsid w:val="00842A39"/>
    <w:rsid w:val="0084327E"/>
    <w:rsid w:val="00845E87"/>
    <w:rsid w:val="008516AC"/>
    <w:rsid w:val="00853A7F"/>
    <w:rsid w:val="00855A70"/>
    <w:rsid w:val="00855E61"/>
    <w:rsid w:val="00856188"/>
    <w:rsid w:val="008639F1"/>
    <w:rsid w:val="00883549"/>
    <w:rsid w:val="00887923"/>
    <w:rsid w:val="008A4F8E"/>
    <w:rsid w:val="008A61A4"/>
    <w:rsid w:val="008B0292"/>
    <w:rsid w:val="008C3436"/>
    <w:rsid w:val="009040C0"/>
    <w:rsid w:val="00904CE3"/>
    <w:rsid w:val="00924323"/>
    <w:rsid w:val="00931957"/>
    <w:rsid w:val="009349F8"/>
    <w:rsid w:val="009360B6"/>
    <w:rsid w:val="00940D35"/>
    <w:rsid w:val="009414A4"/>
    <w:rsid w:val="00947750"/>
    <w:rsid w:val="00966611"/>
    <w:rsid w:val="00966A71"/>
    <w:rsid w:val="00997BA1"/>
    <w:rsid w:val="009A0EF9"/>
    <w:rsid w:val="009D31C6"/>
    <w:rsid w:val="009D3395"/>
    <w:rsid w:val="00A11AE2"/>
    <w:rsid w:val="00A32F93"/>
    <w:rsid w:val="00A71F50"/>
    <w:rsid w:val="00A73690"/>
    <w:rsid w:val="00A8016B"/>
    <w:rsid w:val="00A8588B"/>
    <w:rsid w:val="00A96762"/>
    <w:rsid w:val="00AB0E89"/>
    <w:rsid w:val="00AB3423"/>
    <w:rsid w:val="00AB691B"/>
    <w:rsid w:val="00AD169A"/>
    <w:rsid w:val="00AD1DB8"/>
    <w:rsid w:val="00AD2553"/>
    <w:rsid w:val="00AD7A59"/>
    <w:rsid w:val="00AF192F"/>
    <w:rsid w:val="00B06F95"/>
    <w:rsid w:val="00B331A9"/>
    <w:rsid w:val="00B33F9D"/>
    <w:rsid w:val="00B371F1"/>
    <w:rsid w:val="00B47A46"/>
    <w:rsid w:val="00B558C0"/>
    <w:rsid w:val="00B7083B"/>
    <w:rsid w:val="00B8084E"/>
    <w:rsid w:val="00B852F1"/>
    <w:rsid w:val="00B90B8D"/>
    <w:rsid w:val="00BA1B65"/>
    <w:rsid w:val="00BA3EB6"/>
    <w:rsid w:val="00BC03A6"/>
    <w:rsid w:val="00BD27C7"/>
    <w:rsid w:val="00BE56DF"/>
    <w:rsid w:val="00BE6CB9"/>
    <w:rsid w:val="00C01F2B"/>
    <w:rsid w:val="00C31046"/>
    <w:rsid w:val="00C46D2A"/>
    <w:rsid w:val="00C56C53"/>
    <w:rsid w:val="00C663A5"/>
    <w:rsid w:val="00C814F4"/>
    <w:rsid w:val="00C8773E"/>
    <w:rsid w:val="00C95B1E"/>
    <w:rsid w:val="00CA60B6"/>
    <w:rsid w:val="00CA675C"/>
    <w:rsid w:val="00CA7EF7"/>
    <w:rsid w:val="00CE07D7"/>
    <w:rsid w:val="00CE3E1A"/>
    <w:rsid w:val="00D0173E"/>
    <w:rsid w:val="00D034E6"/>
    <w:rsid w:val="00D5255F"/>
    <w:rsid w:val="00D938A9"/>
    <w:rsid w:val="00DB1421"/>
    <w:rsid w:val="00DE4084"/>
    <w:rsid w:val="00DE5B9A"/>
    <w:rsid w:val="00DF5C93"/>
    <w:rsid w:val="00DF7399"/>
    <w:rsid w:val="00E14EEC"/>
    <w:rsid w:val="00E167EC"/>
    <w:rsid w:val="00E31060"/>
    <w:rsid w:val="00E347CC"/>
    <w:rsid w:val="00E352EB"/>
    <w:rsid w:val="00E41827"/>
    <w:rsid w:val="00E440CD"/>
    <w:rsid w:val="00E7793F"/>
    <w:rsid w:val="00E916B6"/>
    <w:rsid w:val="00EA430F"/>
    <w:rsid w:val="00EA79A1"/>
    <w:rsid w:val="00EB24F1"/>
    <w:rsid w:val="00EB28A1"/>
    <w:rsid w:val="00EB5EE6"/>
    <w:rsid w:val="00EB65B6"/>
    <w:rsid w:val="00EB678A"/>
    <w:rsid w:val="00EB79AC"/>
    <w:rsid w:val="00EC4300"/>
    <w:rsid w:val="00EE073E"/>
    <w:rsid w:val="00EE26A8"/>
    <w:rsid w:val="00EF175E"/>
    <w:rsid w:val="00F040B3"/>
    <w:rsid w:val="00F12733"/>
    <w:rsid w:val="00F17EF3"/>
    <w:rsid w:val="00F2366D"/>
    <w:rsid w:val="00F3269F"/>
    <w:rsid w:val="00F3303E"/>
    <w:rsid w:val="00F44CC0"/>
    <w:rsid w:val="00F47625"/>
    <w:rsid w:val="00F5766D"/>
    <w:rsid w:val="00F63688"/>
    <w:rsid w:val="00F73D96"/>
    <w:rsid w:val="00F94469"/>
    <w:rsid w:val="00F94EB2"/>
    <w:rsid w:val="00F9560C"/>
    <w:rsid w:val="00FB2C89"/>
    <w:rsid w:val="00FC2F40"/>
    <w:rsid w:val="00FD0065"/>
    <w:rsid w:val="00FD2B3C"/>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635A0"/>
    <w:rsid w:val="000D2451"/>
    <w:rsid w:val="002F5D24"/>
    <w:rsid w:val="00393CD3"/>
    <w:rsid w:val="00433F39"/>
    <w:rsid w:val="004525B8"/>
    <w:rsid w:val="004A1473"/>
    <w:rsid w:val="004A486A"/>
    <w:rsid w:val="004D3992"/>
    <w:rsid w:val="004D5114"/>
    <w:rsid w:val="00523AC7"/>
    <w:rsid w:val="005A3285"/>
    <w:rsid w:val="00657553"/>
    <w:rsid w:val="006A6FF9"/>
    <w:rsid w:val="00700960"/>
    <w:rsid w:val="0072715E"/>
    <w:rsid w:val="007423F4"/>
    <w:rsid w:val="007A6D2A"/>
    <w:rsid w:val="007D49BE"/>
    <w:rsid w:val="007F6C7C"/>
    <w:rsid w:val="00853532"/>
    <w:rsid w:val="0094224D"/>
    <w:rsid w:val="00972CBD"/>
    <w:rsid w:val="00AF6C22"/>
    <w:rsid w:val="00AF7426"/>
    <w:rsid w:val="00CE307C"/>
    <w:rsid w:val="00D53DF4"/>
    <w:rsid w:val="00D87E95"/>
    <w:rsid w:val="00DE0D1A"/>
    <w:rsid w:val="00E128FB"/>
    <w:rsid w:val="00E433CA"/>
    <w:rsid w:val="00E46984"/>
    <w:rsid w:val="00EE12A8"/>
    <w:rsid w:val="00EE4165"/>
    <w:rsid w:val="00EF43B5"/>
    <w:rsid w:val="00F272DF"/>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92EF9-0912-4325-BD9B-376B515E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1</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223</cp:revision>
  <cp:lastPrinted>2017-01-08T11:02:00Z</cp:lastPrinted>
  <dcterms:created xsi:type="dcterms:W3CDTF">2016-10-30T11:44:00Z</dcterms:created>
  <dcterms:modified xsi:type="dcterms:W3CDTF">2017-02-19T05:24:00Z</dcterms:modified>
</cp:coreProperties>
</file>